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ustomizations.xml" ContentType="application/vnd.ms-word.keyMapCustomization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方正小标宋简体" w:eastAsia="方正小标宋简体"/>
          <w:sz w:val="44"/>
          <w:szCs w:val="44"/>
        </w:rPr>
      </w:pPr>
      <w:r>
        <w:rPr>
          <w:rFonts w:hint="eastAsia" w:ascii="方正小标宋简体" w:eastAsia="方正小标宋简体"/>
          <w:sz w:val="44"/>
          <w:szCs w:val="44"/>
          <w:lang w:eastAsia="zh-CN"/>
        </w:rPr>
        <w:t>成兴科技</w:t>
      </w:r>
      <w:r>
        <w:rPr>
          <w:rFonts w:hint="eastAsia" w:ascii="方正小标宋简体" w:eastAsia="方正小标宋简体"/>
          <w:sz w:val="44"/>
          <w:szCs w:val="44"/>
          <w:lang w:val="en-US" w:eastAsia="zh-CN"/>
        </w:rPr>
        <w:t>CA</w:t>
      </w:r>
      <w:r>
        <w:rPr>
          <w:rFonts w:hint="eastAsia" w:ascii="方正小标宋简体" w:eastAsia="方正小标宋简体"/>
          <w:sz w:val="44"/>
          <w:szCs w:val="44"/>
        </w:rPr>
        <w:t>数字证书网上更新</w:t>
      </w:r>
      <w:r>
        <w:rPr>
          <w:rFonts w:hint="eastAsia" w:ascii="方正小标宋简体" w:eastAsia="方正小标宋简体"/>
          <w:sz w:val="44"/>
          <w:szCs w:val="44"/>
          <w:lang w:eastAsia="zh-CN"/>
        </w:rPr>
        <w:t>须知</w:t>
      </w:r>
    </w:p>
    <w:p>
      <w:pPr>
        <w:numPr>
          <w:ilvl w:val="0"/>
          <w:numId w:val="1"/>
        </w:numPr>
        <w:ind w:firstLine="576" w:firstLineChars="200"/>
        <w:rPr>
          <w:rFonts w:hint="eastAsia" w:ascii="仿宋_GB2312" w:hAnsi="宋体" w:eastAsia="仿宋_GB2312" w:cs="宋体"/>
          <w:kern w:val="0"/>
          <w:sz w:val="32"/>
          <w:szCs w:val="32"/>
        </w:rPr>
      </w:pPr>
      <w:r>
        <w:rPr>
          <w:rFonts w:hint="eastAsia" w:ascii="仿宋_GB2312" w:hAnsi="宋体" w:eastAsia="仿宋_GB2312"/>
          <w:w w:val="90"/>
          <w:sz w:val="32"/>
          <w:szCs w:val="32"/>
        </w:rPr>
        <w:t>企业用户通过甘肃省公共资源交易网</w:t>
      </w:r>
      <w:r>
        <w:rPr>
          <w:rFonts w:hint="eastAsia"/>
          <w:i w:val="0"/>
          <w:iCs w:val="0"/>
          <w:u w:val="single"/>
        </w:rPr>
        <w:t>http://ggzyjy.gansu.gov.cn/index</w:t>
      </w:r>
      <w:r>
        <w:rPr>
          <w:rStyle w:val="11"/>
          <w:rFonts w:hint="eastAsia" w:ascii="仿宋_GB2312" w:hAnsi="宋体" w:eastAsia="仿宋_GB2312"/>
          <w:color w:val="auto"/>
          <w:sz w:val="32"/>
          <w:szCs w:val="32"/>
        </w:rPr>
        <w:t xml:space="preserve"> </w:t>
      </w:r>
      <w:r>
        <w:rPr>
          <w:rStyle w:val="11"/>
          <w:rFonts w:hint="eastAsia" w:ascii="仿宋_GB2312" w:hAnsi="宋体" w:eastAsia="仿宋_GB2312"/>
          <w:color w:val="auto"/>
          <w:sz w:val="32"/>
          <w:szCs w:val="32"/>
          <w:u w:val="none"/>
        </w:rPr>
        <w:t>右上角“证书申请”</w:t>
      </w:r>
      <w:r>
        <w:rPr>
          <w:rFonts w:hint="eastAsia" w:ascii="仿宋_GB2312" w:hAnsi="宋体" w:eastAsia="仿宋_GB2312"/>
          <w:sz w:val="32"/>
          <w:szCs w:val="32"/>
        </w:rPr>
        <w:t>进入成兴数字证书服务系统进行更新或者登录甘肃成兴信息科技有限公司官网</w:t>
      </w:r>
      <w:r>
        <w:fldChar w:fldCharType="begin"/>
      </w:r>
      <w:r>
        <w:instrText xml:space="preserve"> HYPERLINK "http://www.chxtec.com" </w:instrText>
      </w:r>
      <w:r>
        <w:fldChar w:fldCharType="separate"/>
      </w:r>
      <w:r>
        <w:rPr>
          <w:rStyle w:val="11"/>
          <w:rFonts w:hint="eastAsia" w:ascii="仿宋_GB2312" w:hAnsi="宋体" w:eastAsia="仿宋_GB2312"/>
          <w:sz w:val="32"/>
          <w:szCs w:val="32"/>
        </w:rPr>
        <w:t>www.chxtec.com</w:t>
      </w:r>
      <w:r>
        <w:rPr>
          <w:rStyle w:val="11"/>
          <w:rFonts w:hint="eastAsia" w:ascii="仿宋_GB2312" w:hAnsi="宋体" w:eastAsia="仿宋_GB2312"/>
          <w:sz w:val="32"/>
          <w:szCs w:val="32"/>
        </w:rPr>
        <w:fldChar w:fldCharType="end"/>
      </w:r>
      <w:r>
        <w:rPr>
          <w:rFonts w:hint="eastAsia" w:ascii="仿宋_GB2312" w:hAnsi="宋体" w:eastAsia="仿宋_GB2312"/>
          <w:sz w:val="32"/>
          <w:szCs w:val="32"/>
        </w:rPr>
        <w:t>登录在线办理系统</w:t>
      </w:r>
      <w:r>
        <w:rPr>
          <w:rFonts w:hint="eastAsia" w:ascii="仿宋_GB2312" w:hAnsi="宋体" w:eastAsia="仿宋_GB2312" w:cs="宋体"/>
          <w:kern w:val="0"/>
          <w:sz w:val="32"/>
          <w:szCs w:val="32"/>
        </w:rPr>
        <w:t>。</w:t>
      </w:r>
    </w:p>
    <w:p>
      <w:pPr>
        <w:spacing w:after="0" w:line="360" w:lineRule="auto"/>
        <w:ind w:firstLine="420"/>
        <w:rPr>
          <w:rFonts w:hint="eastAsia"/>
          <w:b/>
          <w:bCs/>
          <w:color w:val="FF0000"/>
          <w:sz w:val="24"/>
          <w:szCs w:val="24"/>
          <w:lang w:val="en-US" w:eastAsia="zh-CN" w:bidi="en-US"/>
        </w:rPr>
      </w:pPr>
      <w:r>
        <w:rPr>
          <w:rFonts w:hint="eastAsia"/>
          <w:b/>
          <w:bCs/>
          <w:color w:val="FF0000"/>
          <w:sz w:val="24"/>
          <w:szCs w:val="24"/>
          <w:lang w:val="en-US" w:eastAsia="zh-CN" w:bidi="en-US"/>
        </w:rPr>
        <w:t>特别说明：有效期内和过期的企业数字证书均可办理更新业务。</w:t>
      </w:r>
    </w:p>
    <w:p>
      <w:pPr>
        <w:jc w:val="left"/>
        <w:rPr>
          <w:rFonts w:ascii="仿宋_GB2312" w:hAnsi="宋体" w:eastAsia="仿宋_GB2312"/>
          <w:szCs w:val="32"/>
        </w:rPr>
      </w:pPr>
      <w:r>
        <w:rPr>
          <w:rFonts w:ascii="仿宋_GB2312" w:hAnsi="宋体" w:eastAsia="仿宋_GB2312"/>
          <w:szCs w:val="32"/>
        </w:rPr>
        <w:drawing>
          <wp:inline distT="0" distB="0" distL="114300" distR="114300">
            <wp:extent cx="5266690" cy="2703195"/>
            <wp:effectExtent l="0" t="0" r="10160" b="1905"/>
            <wp:docPr id="1" name="图片 1" descr="TIM截图2019031410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截图20190314105804"/>
                    <pic:cNvPicPr>
                      <a:picLocks noChangeAspect="1"/>
                    </pic:cNvPicPr>
                  </pic:nvPicPr>
                  <pic:blipFill>
                    <a:blip r:embed="rId7"/>
                    <a:stretch>
                      <a:fillRect/>
                    </a:stretch>
                  </pic:blipFill>
                  <pic:spPr>
                    <a:xfrm>
                      <a:off x="0" y="0"/>
                      <a:ext cx="5266690" cy="2703195"/>
                    </a:xfrm>
                    <a:prstGeom prst="rect">
                      <a:avLst/>
                    </a:prstGeom>
                  </pic:spPr>
                </pic:pic>
              </a:graphicData>
            </a:graphic>
          </wp:inline>
        </w:drawing>
      </w:r>
      <w:r>
        <w:rPr>
          <w:rFonts w:ascii="仿宋_GB2312" w:hAnsi="宋体" w:eastAsia="仿宋_GB2312"/>
          <w:szCs w:val="32"/>
        </w:rPr>
        <w:drawing>
          <wp:inline distT="0" distB="0" distL="114300" distR="114300">
            <wp:extent cx="5267325" cy="2552700"/>
            <wp:effectExtent l="0" t="0" r="9525" b="0"/>
            <wp:docPr id="2" name="图片 2" descr="TIM截图20171013094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TIM截图20171013094645"/>
                    <pic:cNvPicPr>
                      <a:picLocks noChangeAspect="1"/>
                    </pic:cNvPicPr>
                  </pic:nvPicPr>
                  <pic:blipFill>
                    <a:blip r:embed="rId8"/>
                    <a:stretch>
                      <a:fillRect/>
                    </a:stretch>
                  </pic:blipFill>
                  <pic:spPr>
                    <a:xfrm>
                      <a:off x="0" y="0"/>
                      <a:ext cx="5267325" cy="2552700"/>
                    </a:xfrm>
                    <a:prstGeom prst="rect">
                      <a:avLst/>
                    </a:prstGeom>
                    <a:noFill/>
                    <a:ln w="9525">
                      <a:noFill/>
                    </a:ln>
                  </pic:spPr>
                </pic:pic>
              </a:graphicData>
            </a:graphic>
          </wp:inline>
        </w:drawing>
      </w:r>
    </w:p>
    <w:p>
      <w:pPr>
        <w:ind w:firstLine="640" w:firstLineChars="200"/>
        <w:rPr>
          <w:rFonts w:ascii="仿宋_GB2312" w:hAnsi="宋体" w:eastAsia="仿宋_GB2312"/>
          <w:sz w:val="32"/>
          <w:szCs w:val="32"/>
        </w:rPr>
      </w:pPr>
      <w:r>
        <w:rPr>
          <w:rFonts w:hint="eastAsia" w:ascii="仿宋_GB2312" w:hAnsi="宋体" w:eastAsia="仿宋_GB2312"/>
          <w:sz w:val="32"/>
          <w:szCs w:val="32"/>
        </w:rPr>
        <w:t>二、医药用户的证书更新服务须</w:t>
      </w:r>
      <w:r>
        <w:rPr>
          <w:rFonts w:hint="eastAsia" w:ascii="仿宋_GB2312" w:hAnsi="宋体" w:eastAsia="仿宋_GB2312"/>
          <w:sz w:val="32"/>
          <w:szCs w:val="32"/>
          <w:lang w:eastAsia="zh-CN"/>
        </w:rPr>
        <w:t>在药品平台办理数字证书更新业务（详情参考药品集采阳采用户办理手册）</w:t>
      </w:r>
      <w:r>
        <w:rPr>
          <w:rFonts w:hint="eastAsia" w:ascii="仿宋_GB2312" w:hAnsi="宋体" w:eastAsia="仿宋_GB2312"/>
          <w:sz w:val="32"/>
          <w:szCs w:val="32"/>
        </w:rPr>
        <w:t>。</w:t>
      </w:r>
    </w:p>
    <w:p>
      <w:pPr>
        <w:ind w:firstLine="640" w:firstLineChars="200"/>
        <w:rPr>
          <w:rFonts w:ascii="仿宋_GB2312" w:hAnsi="宋体" w:eastAsia="仿宋_GB2312"/>
          <w:sz w:val="32"/>
          <w:szCs w:val="32"/>
        </w:rPr>
      </w:pPr>
      <w:r>
        <w:rPr>
          <w:rFonts w:hint="eastAsia" w:ascii="仿宋_GB2312" w:hAnsi="宋体" w:eastAsia="仿宋_GB2312"/>
          <w:sz w:val="32"/>
          <w:szCs w:val="32"/>
        </w:rPr>
        <w:t>三、请您在更新前确定有无企业信息变更。如有企业名称、法人、开户行等信息变更请来现场办理变更业务，如是系统注册信息修改如注册资金、单位地址、注册联系人等信息发生变更，请致电全国免费技术支持电话400-102-0005修改。</w:t>
      </w:r>
    </w:p>
    <w:p>
      <w:pPr>
        <w:ind w:firstLine="643" w:firstLineChars="200"/>
        <w:rPr>
          <w:rFonts w:hint="default" w:ascii="仿宋_GB2312" w:hAnsi="宋体" w:eastAsia="仿宋_GB2312"/>
          <w:b/>
          <w:bCs/>
          <w:sz w:val="32"/>
          <w:szCs w:val="32"/>
          <w:lang w:val="en-US" w:eastAsia="zh-CN"/>
        </w:rPr>
      </w:pPr>
      <w:r>
        <w:rPr>
          <w:rFonts w:hint="eastAsia" w:ascii="仿宋_GB2312" w:hAnsi="宋体" w:eastAsia="仿宋_GB2312"/>
          <w:b/>
          <w:bCs/>
          <w:sz w:val="32"/>
          <w:szCs w:val="32"/>
          <w:lang w:eastAsia="zh-CN"/>
        </w:rPr>
        <w:t>四</w:t>
      </w:r>
      <w:r>
        <w:rPr>
          <w:rFonts w:hint="eastAsia" w:ascii="仿宋_GB2312" w:hAnsi="宋体" w:eastAsia="仿宋_GB2312"/>
          <w:b/>
          <w:bCs/>
          <w:sz w:val="32"/>
          <w:szCs w:val="32"/>
        </w:rPr>
        <w:t>、目前</w:t>
      </w:r>
      <w:r>
        <w:rPr>
          <w:rFonts w:hint="eastAsia" w:ascii="仿宋_GB2312" w:hAnsi="宋体" w:eastAsia="仿宋_GB2312"/>
          <w:b/>
          <w:bCs/>
          <w:sz w:val="32"/>
          <w:szCs w:val="32"/>
          <w:lang w:eastAsia="zh-CN"/>
        </w:rPr>
        <w:t>甘肃省</w:t>
      </w:r>
      <w:r>
        <w:rPr>
          <w:rFonts w:hint="eastAsia" w:ascii="仿宋_GB2312" w:hAnsi="宋体" w:eastAsia="仿宋_GB2312"/>
          <w:b/>
          <w:bCs/>
          <w:sz w:val="32"/>
          <w:szCs w:val="32"/>
          <w:lang w:val="en-US" w:eastAsia="zh-CN"/>
        </w:rPr>
        <w:t>CA互认互通，更新完数字证书全省市级交易平台均可使用。</w:t>
      </w:r>
    </w:p>
    <w:p>
      <w:pPr>
        <w:widowControl/>
        <w:jc w:val="left"/>
        <w:rPr>
          <w:rFonts w:ascii="黑体" w:hAnsi="黑体" w:eastAsia="黑体"/>
          <w:szCs w:val="32"/>
        </w:rPr>
      </w:pPr>
      <w:r>
        <w:rPr>
          <w:rFonts w:ascii="黑体" w:hAnsi="黑体" w:eastAsia="黑体"/>
          <w:szCs w:val="32"/>
        </w:rPr>
        <w:br w:type="page"/>
      </w:r>
    </w:p>
    <w:p>
      <w:pPr>
        <w:jc w:val="center"/>
        <w:rPr>
          <w:rFonts w:ascii="方正小标宋简体" w:eastAsia="方正小标宋简体"/>
          <w:sz w:val="44"/>
          <w:szCs w:val="44"/>
        </w:rPr>
      </w:pPr>
      <w:r>
        <w:rPr>
          <w:rFonts w:hint="eastAsia" w:ascii="方正小标宋简体" w:eastAsia="方正小标宋简体"/>
          <w:sz w:val="44"/>
          <w:szCs w:val="44"/>
        </w:rPr>
        <w:t>数字证书网上更新操作流程</w:t>
      </w:r>
    </w:p>
    <w:p>
      <w:pPr>
        <w:ind w:firstLine="640" w:firstLineChars="200"/>
        <w:rPr>
          <w:rFonts w:ascii="仿宋_GB2312" w:hAnsi="宋体" w:eastAsia="仿宋_GB2312"/>
          <w:sz w:val="32"/>
          <w:szCs w:val="32"/>
        </w:rPr>
      </w:pPr>
      <w:r>
        <w:rPr>
          <w:rFonts w:hint="eastAsia" w:ascii="仿宋_GB2312" w:hAnsi="宋体" w:eastAsia="仿宋_GB2312"/>
          <w:sz w:val="32"/>
          <w:szCs w:val="32"/>
        </w:rPr>
        <w:t>一、请先登录甘肃省公共资源交易网</w:t>
      </w:r>
      <w:r>
        <w:fldChar w:fldCharType="begin"/>
      </w:r>
      <w:r>
        <w:instrText xml:space="preserve"> HYPERLINK "http://www.gsggzyjy.cn" </w:instrText>
      </w:r>
      <w:r>
        <w:fldChar w:fldCharType="separate"/>
      </w:r>
      <w:r>
        <w:rPr>
          <w:rFonts w:hint="eastAsia" w:asciiTheme="minorEastAsia" w:hAnsiTheme="minorEastAsia" w:eastAsiaTheme="minorEastAsia"/>
          <w:sz w:val="32"/>
          <w:szCs w:val="32"/>
        </w:rPr>
        <w:t>www.gsggzyjy.cn</w:t>
      </w:r>
      <w:r>
        <w:rPr>
          <w:rFonts w:hint="eastAsia" w:asciiTheme="minorEastAsia" w:hAnsiTheme="minorEastAsia" w:eastAsiaTheme="minorEastAsia"/>
          <w:sz w:val="32"/>
          <w:szCs w:val="32"/>
        </w:rPr>
        <w:fldChar w:fldCharType="end"/>
      </w:r>
      <w:r>
        <w:rPr>
          <w:rFonts w:hint="eastAsia" w:ascii="仿宋_GB2312" w:hAnsi="宋体" w:eastAsia="仿宋_GB2312"/>
          <w:sz w:val="32"/>
          <w:szCs w:val="32"/>
        </w:rPr>
        <w:t>，“证书申请”点击进入“数字证书在线办理”系统会自动跳转到成兴数字证书服务系统;或者登录甘肃成兴信息科技有限公司官网</w:t>
      </w:r>
      <w:r>
        <w:fldChar w:fldCharType="begin"/>
      </w:r>
      <w:r>
        <w:instrText xml:space="preserve"> HYPERLINK "http://www.chxtec.com" </w:instrText>
      </w:r>
      <w:r>
        <w:fldChar w:fldCharType="separate"/>
      </w:r>
      <w:r>
        <w:rPr>
          <w:rFonts w:hint="eastAsia" w:asciiTheme="minorEastAsia" w:hAnsiTheme="minorEastAsia" w:eastAsiaTheme="minorEastAsia"/>
          <w:sz w:val="32"/>
          <w:szCs w:val="32"/>
        </w:rPr>
        <w:t>www.chxtec.com</w:t>
      </w:r>
      <w:r>
        <w:rPr>
          <w:rFonts w:hint="eastAsia" w:asciiTheme="minorEastAsia" w:hAnsiTheme="minorEastAsia" w:eastAsiaTheme="minorEastAsia"/>
          <w:sz w:val="32"/>
          <w:szCs w:val="32"/>
        </w:rPr>
        <w:fldChar w:fldCharType="end"/>
      </w:r>
      <w:r>
        <w:rPr>
          <w:rFonts w:hint="eastAsia" w:ascii="仿宋_GB2312" w:hAnsi="宋体" w:eastAsia="仿宋_GB2312"/>
          <w:sz w:val="32"/>
          <w:szCs w:val="32"/>
        </w:rPr>
        <w:t>登录在线办理系统。企业级用户请用企业名称+登录密码登录；个人用户请用用户名+登录密码登录。本系统由成兴信息科技有限公司提供技术支持。</w:t>
      </w:r>
    </w:p>
    <w:p>
      <w:pPr>
        <w:rPr>
          <w:rFonts w:ascii="宋体" w:hAnsi="宋体"/>
          <w:szCs w:val="32"/>
        </w:rPr>
      </w:pPr>
      <w:r>
        <w:rPr>
          <w:rFonts w:ascii="宋体" w:hAnsi="宋体"/>
          <w:szCs w:val="32"/>
        </w:rPr>
        <w:drawing>
          <wp:inline distT="0" distB="0" distL="114300" distR="114300">
            <wp:extent cx="5267325" cy="245745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67325" cy="2457450"/>
                    </a:xfrm>
                    <a:prstGeom prst="rect">
                      <a:avLst/>
                    </a:prstGeom>
                    <a:noFill/>
                    <a:ln w="9525">
                      <a:noFill/>
                    </a:ln>
                  </pic:spPr>
                </pic:pic>
              </a:graphicData>
            </a:graphic>
          </wp:inline>
        </w:drawing>
      </w:r>
    </w:p>
    <w:p>
      <w:pPr>
        <w:ind w:firstLine="640" w:firstLineChars="200"/>
        <w:rPr>
          <w:rFonts w:ascii="仿宋_GB2312" w:hAnsi="宋体" w:eastAsia="仿宋_GB2312"/>
          <w:sz w:val="32"/>
          <w:szCs w:val="32"/>
        </w:rPr>
      </w:pPr>
      <w:r>
        <w:rPr>
          <w:rFonts w:hint="eastAsia" w:ascii="仿宋_GB2312" w:hAnsi="宋体" w:eastAsia="仿宋_GB2312"/>
          <w:sz w:val="32"/>
          <w:szCs w:val="32"/>
        </w:rPr>
        <w:t>二、进入证书服务系统，点击左边导航菜单“我的证书”，进入数字证书更新界面。</w:t>
      </w:r>
    </w:p>
    <w:p>
      <w:pPr>
        <w:rPr>
          <w:rFonts w:ascii="宋体" w:hAnsi="宋体"/>
          <w:szCs w:val="32"/>
        </w:rPr>
      </w:pPr>
      <w:r>
        <w:rPr>
          <w:rFonts w:ascii="宋体" w:hAnsi="宋体"/>
          <w:szCs w:val="32"/>
        </w:rPr>
        <w:drawing>
          <wp:inline distT="0" distB="0" distL="114300" distR="114300">
            <wp:extent cx="5267325" cy="2400300"/>
            <wp:effectExtent l="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5267325" cy="2400300"/>
                    </a:xfrm>
                    <a:prstGeom prst="rect">
                      <a:avLst/>
                    </a:prstGeom>
                    <a:noFill/>
                    <a:ln w="9525">
                      <a:noFill/>
                    </a:ln>
                  </pic:spPr>
                </pic:pic>
              </a:graphicData>
            </a:graphic>
          </wp:inline>
        </w:drawing>
      </w:r>
    </w:p>
    <w:p>
      <w:pPr>
        <w:ind w:firstLine="640" w:firstLineChars="200"/>
        <w:rPr>
          <w:rFonts w:ascii="仿宋_GB2312" w:hAnsi="宋体" w:eastAsia="仿宋_GB2312"/>
          <w:sz w:val="32"/>
          <w:szCs w:val="32"/>
        </w:rPr>
      </w:pPr>
      <w:r>
        <w:rPr>
          <w:rFonts w:hint="eastAsia" w:ascii="仿宋_GB2312" w:hAnsi="宋体" w:eastAsia="仿宋_GB2312"/>
          <w:sz w:val="32"/>
          <w:szCs w:val="32"/>
        </w:rPr>
        <w:t>三、进行基本信息填写，上传资料。</w:t>
      </w:r>
    </w:p>
    <w:p>
      <w:pPr>
        <w:rPr>
          <w:rFonts w:ascii="宋体" w:hAnsi="宋体"/>
          <w:szCs w:val="32"/>
        </w:rPr>
      </w:pPr>
      <w:r>
        <w:rPr>
          <w:rFonts w:ascii="宋体" w:hAnsi="宋体"/>
          <w:szCs w:val="32"/>
        </w:rPr>
        <w:drawing>
          <wp:inline distT="0" distB="0" distL="114300" distR="114300">
            <wp:extent cx="5276850" cy="2581275"/>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5276850" cy="2581275"/>
                    </a:xfrm>
                    <a:prstGeom prst="rect">
                      <a:avLst/>
                    </a:prstGeom>
                    <a:noFill/>
                    <a:ln w="9525">
                      <a:noFill/>
                    </a:ln>
                  </pic:spPr>
                </pic:pic>
              </a:graphicData>
            </a:graphic>
          </wp:inline>
        </w:drawing>
      </w:r>
    </w:p>
    <w:p>
      <w:pPr>
        <w:rPr>
          <w:rFonts w:ascii="宋体" w:hAnsi="宋体"/>
          <w:szCs w:val="32"/>
        </w:rPr>
      </w:pPr>
      <w:r>
        <w:rPr>
          <w:rFonts w:ascii="宋体" w:hAnsi="宋体"/>
          <w:szCs w:val="32"/>
        </w:rPr>
        <w:drawing>
          <wp:inline distT="0" distB="0" distL="114300" distR="114300">
            <wp:extent cx="5267325" cy="2762250"/>
            <wp:effectExtent l="0" t="0" r="952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5267325" cy="2762250"/>
                    </a:xfrm>
                    <a:prstGeom prst="rect">
                      <a:avLst/>
                    </a:prstGeom>
                    <a:noFill/>
                    <a:ln w="9525">
                      <a:noFill/>
                    </a:ln>
                  </pic:spPr>
                </pic:pic>
              </a:graphicData>
            </a:graphic>
          </wp:inline>
        </w:drawing>
      </w:r>
    </w:p>
    <w:p>
      <w:pPr>
        <w:rPr>
          <w:rFonts w:ascii="仿宋_GB2312" w:hAnsi="宋体" w:eastAsia="仿宋_GB2312"/>
          <w:szCs w:val="32"/>
        </w:rPr>
      </w:pPr>
      <w:r>
        <w:drawing>
          <wp:inline distT="0" distB="0" distL="114300" distR="114300">
            <wp:extent cx="5266690" cy="2303780"/>
            <wp:effectExtent l="0" t="0" r="10160" b="127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3"/>
                    <a:stretch>
                      <a:fillRect/>
                    </a:stretch>
                  </pic:blipFill>
                  <pic:spPr>
                    <a:xfrm>
                      <a:off x="0" y="0"/>
                      <a:ext cx="5266690" cy="2303780"/>
                    </a:xfrm>
                    <a:prstGeom prst="rect">
                      <a:avLst/>
                    </a:prstGeom>
                    <a:noFill/>
                    <a:ln w="9525">
                      <a:noFill/>
                    </a:ln>
                  </pic:spPr>
                </pic:pic>
              </a:graphicData>
            </a:graphic>
          </wp:inline>
        </w:drawing>
      </w:r>
    </w:p>
    <w:p>
      <w:pPr>
        <w:ind w:firstLine="640" w:firstLineChars="200"/>
        <w:rPr>
          <w:rFonts w:hint="eastAsia" w:ascii="仿宋_GB2312" w:hAnsi="宋体" w:eastAsia="仿宋_GB2312"/>
          <w:sz w:val="32"/>
          <w:szCs w:val="32"/>
          <w:lang w:eastAsia="zh-CN"/>
        </w:rPr>
      </w:pPr>
      <w:r>
        <w:rPr>
          <w:rFonts w:hint="eastAsia" w:ascii="仿宋_GB2312" w:hAnsi="宋体" w:eastAsia="仿宋_GB2312"/>
          <w:sz w:val="32"/>
          <w:szCs w:val="32"/>
        </w:rPr>
        <w:t>备注：</w:t>
      </w:r>
      <w:r>
        <w:rPr>
          <w:rFonts w:hint="eastAsia" w:ascii="仿宋_GB2312" w:hAnsi="宋体" w:eastAsia="仿宋_GB2312"/>
          <w:sz w:val="32"/>
          <w:szCs w:val="32"/>
          <w:lang w:eastAsia="zh-CN"/>
        </w:rPr>
        <w:t>本着提供便捷服务的宗旨，我公司已开展多年有效期数字证书业务，用户可以根据不同情况，自行选择办理。</w:t>
      </w:r>
    </w:p>
    <w:p>
      <w:pPr>
        <w:ind w:firstLine="640" w:firstLineChars="200"/>
        <w:rPr>
          <w:rFonts w:hint="eastAsia" w:ascii="仿宋_GB2312" w:hAnsi="宋体" w:eastAsia="仿宋_GB2312"/>
          <w:sz w:val="32"/>
          <w:szCs w:val="32"/>
          <w:lang w:eastAsia="zh-CN"/>
        </w:rPr>
      </w:pPr>
    </w:p>
    <w:p>
      <w:pPr>
        <w:ind w:firstLine="640" w:firstLineChars="200"/>
        <w:rPr>
          <w:rFonts w:ascii="仿宋_GB2312" w:hAnsi="宋体" w:eastAsia="仿宋_GB2312"/>
          <w:sz w:val="32"/>
          <w:szCs w:val="32"/>
        </w:rPr>
      </w:pPr>
      <w:r>
        <w:rPr>
          <w:rFonts w:hint="eastAsia" w:ascii="仿宋_GB2312" w:hAnsi="宋体" w:eastAsia="仿宋_GB2312"/>
          <w:sz w:val="32"/>
          <w:szCs w:val="32"/>
        </w:rPr>
        <w:t>四、在订单信息中查看审核状态，审核通过后</w:t>
      </w:r>
      <w:r>
        <w:rPr>
          <w:rFonts w:ascii="仿宋_GB2312" w:hAnsi="宋体" w:eastAsia="仿宋_GB2312"/>
          <w:sz w:val="32"/>
          <w:szCs w:val="32"/>
        </w:rPr>
        <w:t>获取订单号进行支付</w:t>
      </w:r>
      <w:r>
        <w:rPr>
          <w:rFonts w:hint="eastAsia" w:ascii="仿宋_GB2312" w:hAnsi="宋体" w:eastAsia="仿宋_GB2312"/>
          <w:sz w:val="32"/>
          <w:szCs w:val="32"/>
        </w:rPr>
        <w:t>;支持银行转账支付</w:t>
      </w:r>
      <w:r>
        <w:rPr>
          <w:rFonts w:hint="eastAsia" w:ascii="仿宋_GB2312" w:hAnsi="宋体" w:eastAsia="仿宋_GB2312"/>
          <w:sz w:val="32"/>
          <w:szCs w:val="32"/>
          <w:lang w:eastAsia="zh-CN"/>
        </w:rPr>
        <w:t>、微信</w:t>
      </w:r>
      <w:r>
        <w:rPr>
          <w:rFonts w:hint="eastAsia" w:ascii="仿宋_GB2312" w:hAnsi="宋体" w:eastAsia="仿宋_GB2312"/>
          <w:sz w:val="32"/>
          <w:szCs w:val="32"/>
        </w:rPr>
        <w:t>和支付宝支付。</w:t>
      </w:r>
    </w:p>
    <w:p>
      <w:pPr>
        <w:rPr>
          <w:rFonts w:ascii="宋体" w:hAnsi="宋体"/>
          <w:szCs w:val="32"/>
        </w:rPr>
      </w:pPr>
      <w:r>
        <w:rPr>
          <w:rFonts w:ascii="宋体" w:hAnsi="宋体"/>
          <w:szCs w:val="32"/>
        </w:rPr>
        <w:drawing>
          <wp:inline distT="0" distB="0" distL="114300" distR="114300">
            <wp:extent cx="5267325" cy="2419985"/>
            <wp:effectExtent l="0" t="0" r="9525" b="184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267325" cy="2419985"/>
                    </a:xfrm>
                    <a:prstGeom prst="rect">
                      <a:avLst/>
                    </a:prstGeom>
                    <a:noFill/>
                    <a:ln w="9525">
                      <a:noFill/>
                    </a:ln>
                  </pic:spPr>
                </pic:pic>
              </a:graphicData>
            </a:graphic>
          </wp:inline>
        </w:drawing>
      </w:r>
      <w:bookmarkStart w:id="0" w:name="_GoBack"/>
      <w:bookmarkEnd w:id="0"/>
    </w:p>
    <w:p>
      <w:pPr>
        <w:ind w:firstLine="640" w:firstLineChars="200"/>
        <w:rPr>
          <w:rFonts w:ascii="宋体" w:hAnsi="宋体"/>
          <w:szCs w:val="32"/>
        </w:rPr>
      </w:pPr>
      <w:r>
        <w:rPr>
          <w:rFonts w:hint="eastAsia" w:ascii="仿宋_GB2312" w:hAnsi="宋体" w:eastAsia="仿宋_GB2312"/>
          <w:sz w:val="32"/>
          <w:szCs w:val="32"/>
        </w:rPr>
        <w:t>备注：请务必保证付款人信息和向银行转账人一致。</w:t>
      </w:r>
      <w:r>
        <w:rPr>
          <w:rFonts w:ascii="宋体" w:hAnsi="宋体"/>
          <w:szCs w:val="32"/>
        </w:rPr>
        <w:drawing>
          <wp:inline distT="0" distB="0" distL="114300" distR="114300">
            <wp:extent cx="5267325" cy="2381250"/>
            <wp:effectExtent l="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5267325" cy="2381250"/>
                    </a:xfrm>
                    <a:prstGeom prst="rect">
                      <a:avLst/>
                    </a:prstGeom>
                    <a:noFill/>
                    <a:ln w="9525">
                      <a:noFill/>
                    </a:ln>
                  </pic:spPr>
                </pic:pic>
              </a:graphicData>
            </a:graphic>
          </wp:inline>
        </w:drawing>
      </w:r>
    </w:p>
    <w:p>
      <w:pPr>
        <w:ind w:firstLine="640" w:firstLineChars="200"/>
        <w:rPr>
          <w:rFonts w:ascii="仿宋_GB2312" w:hAnsi="宋体" w:eastAsia="仿宋_GB2312"/>
          <w:sz w:val="32"/>
          <w:szCs w:val="32"/>
        </w:rPr>
      </w:pPr>
      <w:r>
        <w:rPr>
          <w:rFonts w:hint="eastAsia" w:ascii="仿宋_GB2312" w:hAnsi="宋体" w:eastAsia="仿宋_GB2312"/>
          <w:sz w:val="32"/>
          <w:szCs w:val="32"/>
        </w:rPr>
        <w:t>五、确定缴费成功之后下载新版驱动更新证书。</w:t>
      </w:r>
    </w:p>
    <w:p>
      <w:pPr>
        <w:rPr>
          <w:rFonts w:ascii="宋体" w:hAnsi="宋体"/>
          <w:szCs w:val="32"/>
        </w:rPr>
      </w:pPr>
      <w:r>
        <w:rPr>
          <w:rFonts w:ascii="宋体" w:hAnsi="宋体"/>
          <w:szCs w:val="32"/>
        </w:rPr>
        <w:drawing>
          <wp:inline distT="0" distB="0" distL="114300" distR="114300">
            <wp:extent cx="5267325" cy="239077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5267325" cy="2390775"/>
                    </a:xfrm>
                    <a:prstGeom prst="rect">
                      <a:avLst/>
                    </a:prstGeom>
                    <a:noFill/>
                    <a:ln w="9525">
                      <a:noFill/>
                    </a:ln>
                  </pic:spPr>
                </pic:pic>
              </a:graphicData>
            </a:graphic>
          </wp:inline>
        </w:drawing>
      </w:r>
    </w:p>
    <w:p>
      <w:pPr>
        <w:ind w:firstLine="640" w:firstLineChars="200"/>
        <w:rPr>
          <w:rFonts w:ascii="仿宋_GB2312" w:hAnsi="宋体" w:eastAsia="仿宋_GB2312"/>
          <w:sz w:val="32"/>
          <w:szCs w:val="32"/>
        </w:rPr>
      </w:pPr>
      <w:r>
        <w:rPr>
          <w:rFonts w:hint="eastAsia" w:ascii="仿宋_GB2312" w:hAnsi="宋体" w:eastAsia="仿宋_GB2312"/>
          <w:sz w:val="32"/>
          <w:szCs w:val="32"/>
        </w:rPr>
        <w:t>登陆甘肃省公共资源交易网</w:t>
      </w:r>
      <w:r>
        <w:fldChar w:fldCharType="begin"/>
      </w:r>
      <w:r>
        <w:instrText xml:space="preserve"> HYPERLINK "http://www.gsggzyjy.cn" </w:instrText>
      </w:r>
      <w:r>
        <w:fldChar w:fldCharType="separate"/>
      </w:r>
      <w:r>
        <w:rPr>
          <w:rStyle w:val="11"/>
          <w:rFonts w:hint="eastAsia" w:ascii="仿宋_GB2312" w:hAnsi="宋体" w:eastAsia="仿宋_GB2312"/>
          <w:color w:val="auto"/>
          <w:szCs w:val="32"/>
        </w:rPr>
        <w:t>w</w:t>
      </w:r>
      <w:r>
        <w:rPr>
          <w:rStyle w:val="11"/>
          <w:rFonts w:hint="eastAsia" w:ascii="仿宋_GB2312" w:hAnsi="宋体" w:eastAsia="仿宋_GB2312"/>
          <w:color w:val="auto"/>
          <w:sz w:val="32"/>
          <w:szCs w:val="32"/>
        </w:rPr>
        <w:t>ww.gsggzyjy.cn</w:t>
      </w:r>
      <w:r>
        <w:rPr>
          <w:rStyle w:val="11"/>
          <w:rFonts w:hint="eastAsia" w:ascii="仿宋_GB2312" w:hAnsi="宋体" w:eastAsia="仿宋_GB2312"/>
          <w:color w:val="auto"/>
          <w:sz w:val="32"/>
          <w:szCs w:val="32"/>
        </w:rPr>
        <w:fldChar w:fldCharType="end"/>
      </w:r>
      <w:r>
        <w:rPr>
          <w:rFonts w:hint="eastAsia" w:ascii="仿宋_GB2312" w:hAnsi="宋体" w:eastAsia="仿宋_GB2312"/>
          <w:sz w:val="32"/>
          <w:szCs w:val="32"/>
        </w:rPr>
        <w:t>下载并安装新版驱动</w:t>
      </w:r>
      <w:r>
        <w:rPr>
          <w:rFonts w:ascii="宋体" w:hAnsi="宋体" w:cs="宋体"/>
          <w:kern w:val="0"/>
          <w:sz w:val="24"/>
          <w:szCs w:val="24"/>
        </w:rPr>
        <w:drawing>
          <wp:inline distT="0" distB="0" distL="114300" distR="114300">
            <wp:extent cx="542925" cy="41910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542925" cy="419100"/>
                    </a:xfrm>
                    <a:prstGeom prst="rect">
                      <a:avLst/>
                    </a:prstGeom>
                    <a:noFill/>
                    <a:ln w="9525">
                      <a:noFill/>
                    </a:ln>
                  </pic:spPr>
                </pic:pic>
              </a:graphicData>
            </a:graphic>
          </wp:inline>
        </w:drawing>
      </w:r>
      <w:r>
        <w:rPr>
          <w:rFonts w:hint="eastAsia" w:ascii="仿宋_GB2312" w:hAnsi="宋体" w:eastAsia="仿宋_GB2312"/>
          <w:sz w:val="32"/>
          <w:szCs w:val="32"/>
        </w:rPr>
        <w:t>。</w:t>
      </w:r>
    </w:p>
    <w:p>
      <w:pPr>
        <w:ind w:firstLine="640" w:firstLineChars="200"/>
        <w:rPr>
          <w:rFonts w:ascii="仿宋_GB2312" w:hAnsi="宋体" w:eastAsia="仿宋_GB2312"/>
          <w:sz w:val="32"/>
          <w:szCs w:val="32"/>
        </w:rPr>
      </w:pPr>
      <w:r>
        <w:rPr>
          <w:rFonts w:hint="eastAsia" w:ascii="仿宋_GB2312" w:hAnsi="宋体" w:eastAsia="仿宋_GB2312"/>
          <w:sz w:val="32"/>
          <w:szCs w:val="32"/>
        </w:rPr>
        <w:t>六、点击“证书服务”，更新证书。</w:t>
      </w:r>
    </w:p>
    <w:p>
      <w:pPr>
        <w:ind w:firstLine="640" w:firstLineChars="200"/>
        <w:rPr>
          <w:rFonts w:ascii="仿宋_GB2312" w:hAnsi="宋体" w:eastAsia="仿宋_GB2312"/>
          <w:sz w:val="32"/>
          <w:szCs w:val="32"/>
        </w:rPr>
      </w:pPr>
      <w:r>
        <w:rPr>
          <w:rFonts w:hint="eastAsia" w:ascii="仿宋_GB2312" w:hAnsi="宋体" w:eastAsia="仿宋_GB2312"/>
          <w:sz w:val="32"/>
          <w:szCs w:val="32"/>
        </w:rPr>
        <w:t>备注：两次口令间隔为2秒至30秒，请客户务必在二次弹出口令框后尽快输入口令，如过长时间未输入口令，请先关闭口令框再次输入。如果数据不能正常推送，请致电400-102-0005。</w:t>
      </w:r>
    </w:p>
    <w:p>
      <w:pPr>
        <w:rPr>
          <w:rFonts w:ascii="宋体" w:hAnsi="宋体"/>
          <w:szCs w:val="32"/>
        </w:rPr>
      </w:pPr>
      <w:r>
        <w:rPr>
          <w:rFonts w:ascii="宋体" w:hAnsi="宋体"/>
          <w:szCs w:val="32"/>
        </w:rPr>
        <w:drawing>
          <wp:inline distT="0" distB="0" distL="114300" distR="114300">
            <wp:extent cx="5276850" cy="275272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5276850" cy="2752725"/>
                    </a:xfrm>
                    <a:prstGeom prst="rect">
                      <a:avLst/>
                    </a:prstGeom>
                    <a:noFill/>
                    <a:ln w="9525">
                      <a:noFill/>
                    </a:ln>
                  </pic:spPr>
                </pic:pic>
              </a:graphicData>
            </a:graphic>
          </wp:inline>
        </w:drawing>
      </w:r>
    </w:p>
    <w:p>
      <w:pPr>
        <w:ind w:firstLine="640" w:firstLineChars="200"/>
        <w:rPr>
          <w:rFonts w:ascii="仿宋_GB2312" w:hAnsi="宋体" w:eastAsia="仿宋_GB2312"/>
          <w:sz w:val="32"/>
          <w:szCs w:val="32"/>
        </w:rPr>
      </w:pPr>
      <w:r>
        <w:rPr>
          <w:rFonts w:hint="eastAsia" w:ascii="仿宋_GB2312" w:hAnsi="宋体" w:eastAsia="仿宋_GB2312"/>
          <w:sz w:val="32"/>
          <w:szCs w:val="32"/>
        </w:rPr>
        <w:t>七、</w:t>
      </w:r>
      <w:r>
        <w:rPr>
          <w:rFonts w:ascii="仿宋_GB2312" w:hAnsi="宋体" w:eastAsia="仿宋_GB2312"/>
          <w:sz w:val="32"/>
          <w:szCs w:val="32"/>
        </w:rPr>
        <w:t>更新成功</w:t>
      </w:r>
      <w:r>
        <w:rPr>
          <w:rFonts w:hint="eastAsia" w:ascii="仿宋_GB2312" w:hAnsi="宋体" w:eastAsia="仿宋_GB2312"/>
          <w:sz w:val="32"/>
          <w:szCs w:val="32"/>
        </w:rPr>
        <w:t>，数字证书自办理之日起</w:t>
      </w:r>
      <w:r>
        <w:rPr>
          <w:rFonts w:hint="eastAsia" w:ascii="仿宋_GB2312" w:hAnsi="宋体" w:eastAsia="仿宋_GB2312"/>
          <w:sz w:val="32"/>
          <w:szCs w:val="32"/>
          <w:lang w:eastAsia="zh-CN"/>
        </w:rPr>
        <w:t>结算有效期</w:t>
      </w:r>
      <w:r>
        <w:rPr>
          <w:rFonts w:hint="eastAsia" w:ascii="仿宋_GB2312" w:hAnsi="宋体" w:eastAsia="仿宋_GB2312"/>
          <w:sz w:val="32"/>
          <w:szCs w:val="32"/>
        </w:rPr>
        <w:t>。</w:t>
      </w:r>
    </w:p>
    <w:p>
      <w:pPr>
        <w:rPr>
          <w:rFonts w:ascii="仿宋_GB2312" w:hAnsi="宋体" w:eastAsia="仿宋_GB2312"/>
          <w:szCs w:val="32"/>
        </w:rPr>
      </w:pPr>
      <w:r>
        <w:rPr>
          <w:rFonts w:ascii="仿宋_GB2312" w:hAnsi="宋体" w:eastAsia="仿宋_GB2312"/>
          <w:szCs w:val="32"/>
        </w:rPr>
        <w:drawing>
          <wp:inline distT="0" distB="0" distL="114300" distR="114300">
            <wp:extent cx="5076825" cy="3248025"/>
            <wp:effectExtent l="0" t="0" r="952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5076825" cy="3248025"/>
                    </a:xfrm>
                    <a:prstGeom prst="rect">
                      <a:avLst/>
                    </a:prstGeom>
                    <a:noFill/>
                    <a:ln w="9525">
                      <a:noFill/>
                    </a:ln>
                  </pic:spPr>
                </pic:pic>
              </a:graphicData>
            </a:graphic>
          </wp:inline>
        </w:drawing>
      </w:r>
    </w:p>
    <w:p>
      <w:pPr>
        <w:ind w:firstLine="723" w:firstLineChars="200"/>
        <w:rPr>
          <w:rFonts w:ascii="仿宋_GB2312" w:hAnsi="宋体" w:eastAsia="仿宋_GB2312"/>
          <w:b/>
          <w:sz w:val="36"/>
          <w:szCs w:val="36"/>
        </w:rPr>
      </w:pPr>
      <w:r>
        <w:rPr>
          <w:rFonts w:hint="eastAsia" w:ascii="仿宋_GB2312" w:hAnsi="宋体" w:eastAsia="仿宋_GB2312"/>
          <w:b/>
          <w:sz w:val="36"/>
          <w:szCs w:val="36"/>
        </w:rPr>
        <w:t>其他注意事项</w:t>
      </w:r>
    </w:p>
    <w:p>
      <w:pPr>
        <w:ind w:firstLine="640" w:firstLineChars="200"/>
        <w:rPr>
          <w:rFonts w:ascii="仿宋_GB2312" w:hAnsi="宋体" w:eastAsia="仿宋_GB2312"/>
          <w:sz w:val="32"/>
          <w:szCs w:val="32"/>
        </w:rPr>
      </w:pPr>
      <w:r>
        <w:rPr>
          <w:rFonts w:hint="eastAsia" w:ascii="仿宋_GB2312" w:hAnsi="宋体" w:eastAsia="仿宋_GB2312"/>
          <w:sz w:val="32"/>
          <w:szCs w:val="32"/>
        </w:rPr>
        <w:t>1.网上办理须提供资料</w:t>
      </w:r>
    </w:p>
    <w:p>
      <w:pPr>
        <w:ind w:firstLine="640" w:firstLineChars="200"/>
        <w:rPr>
          <w:rFonts w:ascii="仿宋_GB2312" w:hAnsi="宋体" w:eastAsia="仿宋_GB2312"/>
          <w:sz w:val="32"/>
          <w:szCs w:val="32"/>
        </w:rPr>
      </w:pPr>
      <w:r>
        <w:rPr>
          <w:rFonts w:hint="eastAsia" w:ascii="仿宋_GB2312" w:hAnsi="宋体" w:eastAsia="仿宋_GB2312"/>
          <w:sz w:val="32"/>
          <w:szCs w:val="32"/>
        </w:rPr>
        <w:t>数字证书办理登记表、营业执照复印件。</w:t>
      </w:r>
    </w:p>
    <w:p>
      <w:pPr>
        <w:ind w:firstLine="640" w:firstLineChars="200"/>
        <w:rPr>
          <w:rFonts w:ascii="仿宋_GB2312" w:hAnsi="宋体" w:eastAsia="仿宋_GB2312"/>
          <w:sz w:val="32"/>
          <w:szCs w:val="32"/>
        </w:rPr>
      </w:pPr>
      <w:r>
        <w:rPr>
          <w:rFonts w:hint="eastAsia" w:ascii="仿宋_GB2312" w:hAnsi="宋体" w:eastAsia="仿宋_GB2312"/>
          <w:sz w:val="32"/>
          <w:szCs w:val="32"/>
        </w:rPr>
        <w:t>备注：所有资料加盖企业公章（鲜章）。</w:t>
      </w:r>
    </w:p>
    <w:p>
      <w:pPr>
        <w:ind w:firstLine="640" w:firstLineChars="200"/>
        <w:rPr>
          <w:rFonts w:ascii="仿宋_GB2312" w:hAnsi="宋体" w:eastAsia="仿宋_GB2312"/>
          <w:sz w:val="32"/>
          <w:szCs w:val="32"/>
        </w:rPr>
      </w:pPr>
      <w:r>
        <w:rPr>
          <w:rFonts w:hint="eastAsia" w:ascii="仿宋_GB2312" w:hAnsi="宋体" w:eastAsia="仿宋_GB2312"/>
          <w:sz w:val="32"/>
          <w:szCs w:val="32"/>
        </w:rPr>
        <w:t>上传所有资料扫描件格式为jpg、pdf。</w:t>
      </w:r>
    </w:p>
    <w:p>
      <w:pPr>
        <w:ind w:firstLine="640" w:firstLineChars="200"/>
        <w:rPr>
          <w:rFonts w:ascii="仿宋_GB2312" w:hAnsi="宋体" w:eastAsia="仿宋_GB2312"/>
          <w:sz w:val="32"/>
          <w:szCs w:val="32"/>
        </w:rPr>
      </w:pPr>
      <w:r>
        <w:rPr>
          <w:rFonts w:hint="eastAsia" w:ascii="仿宋_GB2312" w:hAnsi="宋体" w:eastAsia="仿宋_GB2312"/>
          <w:sz w:val="32"/>
          <w:szCs w:val="32"/>
        </w:rPr>
        <w:t>2.我们可以开具增值税专用发票或普通发票，发票暂时存放在数字证书办理处，客户可在现场开标时凭电子凭证领取，或根据客户要求以到付费方式寄送发票。</w:t>
      </w:r>
    </w:p>
    <w:p>
      <w:pPr>
        <w:ind w:firstLine="640" w:firstLineChars="200"/>
        <w:rPr>
          <w:rFonts w:ascii="仿宋_GB2312" w:hAnsi="宋体" w:eastAsia="仿宋_GB2312"/>
          <w:sz w:val="32"/>
          <w:szCs w:val="32"/>
        </w:rPr>
      </w:pPr>
      <w:r>
        <w:rPr>
          <w:rFonts w:hint="eastAsia" w:ascii="仿宋_GB2312" w:hAnsi="宋体" w:eastAsia="仿宋_GB2312"/>
          <w:sz w:val="32"/>
          <w:szCs w:val="32"/>
        </w:rPr>
        <w:t>3.我们的工作人员会及时审核更新资料，工作时间8:30-12：00  14：30-18：00内每十分钟更新一次，确保第一时间审核资料。</w:t>
      </w:r>
    </w:p>
    <w:p>
      <w:pPr>
        <w:ind w:firstLine="640" w:firstLineChars="200"/>
        <w:rPr>
          <w:rFonts w:ascii="仿宋_GB2312" w:hAnsi="宋体" w:eastAsia="仿宋_GB2312"/>
          <w:sz w:val="32"/>
          <w:szCs w:val="32"/>
        </w:rPr>
      </w:pPr>
      <w:r>
        <w:rPr>
          <w:rFonts w:hint="eastAsia" w:ascii="仿宋_GB2312" w:hAnsi="宋体" w:eastAsia="仿宋_GB2312"/>
          <w:sz w:val="32"/>
          <w:szCs w:val="32"/>
        </w:rPr>
        <w:t>4.在缴费成功后（向甘肃成兴信息科技有限公司开户银行转账），银行每隔二十分钟刷新转账信息，工作人员接收到转账信息后立即办理更新手续，为更高效的办理更新业务，请您选择支付宝付款。</w:t>
      </w:r>
    </w:p>
    <w:p>
      <w:pPr>
        <w:ind w:firstLine="640" w:firstLineChars="200"/>
        <w:rPr>
          <w:rFonts w:ascii="仿宋_GB2312" w:hAnsi="宋体" w:eastAsia="仿宋_GB2312"/>
          <w:sz w:val="32"/>
          <w:szCs w:val="32"/>
        </w:rPr>
      </w:pPr>
      <w:r>
        <w:rPr>
          <w:rFonts w:hint="eastAsia" w:ascii="仿宋_GB2312" w:hAnsi="宋体" w:eastAsia="仿宋_GB2312"/>
          <w:sz w:val="32"/>
          <w:szCs w:val="32"/>
        </w:rPr>
        <w:t>5.正常情况下，我们工作人员会在</w:t>
      </w:r>
      <w:r>
        <w:rPr>
          <w:rFonts w:hint="eastAsia" w:ascii="仿宋_GB2312" w:hAnsi="宋体" w:eastAsia="仿宋_GB2312"/>
          <w:sz w:val="32"/>
          <w:szCs w:val="32"/>
          <w:lang w:val="en-US" w:eastAsia="zh-CN"/>
        </w:rPr>
        <w:t>2</w:t>
      </w:r>
      <w:r>
        <w:rPr>
          <w:rFonts w:hint="eastAsia" w:ascii="仿宋_GB2312" w:hAnsi="宋体" w:eastAsia="仿宋_GB2312"/>
          <w:sz w:val="32"/>
          <w:szCs w:val="32"/>
        </w:rPr>
        <w:t>小时内办理好更新手续，请客户对我们监督。如有特殊情况请提前办理或来现场办理。</w:t>
      </w:r>
    </w:p>
    <w:p>
      <w:pPr>
        <w:ind w:firstLine="640" w:firstLineChars="200"/>
        <w:rPr>
          <w:rFonts w:ascii="仿宋_GB2312" w:hAnsi="宋体" w:eastAsia="仿宋_GB2312"/>
          <w:sz w:val="32"/>
          <w:szCs w:val="32"/>
        </w:rPr>
      </w:pPr>
      <w:r>
        <w:rPr>
          <w:rFonts w:hint="eastAsia" w:ascii="仿宋_GB2312" w:hAnsi="宋体" w:eastAsia="仿宋_GB2312"/>
          <w:sz w:val="32"/>
          <w:szCs w:val="32"/>
        </w:rPr>
        <w:t>6.办理更新前客户需下载新的Ukey驱动以及离线盖章工具，确保您的证书更新有效。</w:t>
      </w:r>
    </w:p>
    <w:p>
      <w:pPr>
        <w:ind w:firstLine="640" w:firstLineChars="200"/>
        <w:rPr>
          <w:rFonts w:ascii="仿宋_GB2312" w:hAnsi="宋体" w:eastAsia="仿宋_GB2312"/>
          <w:sz w:val="32"/>
          <w:szCs w:val="32"/>
        </w:rPr>
      </w:pPr>
      <w:r>
        <w:rPr>
          <w:rFonts w:hint="eastAsia" w:ascii="仿宋_GB2312" w:hAnsi="宋体" w:eastAsia="仿宋_GB2312"/>
          <w:sz w:val="32"/>
          <w:szCs w:val="32"/>
        </w:rPr>
        <w:t>7.如办理更新时需同时更新主副锁，请逐个更新。</w:t>
      </w: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hint="eastAsia" w:ascii="黑体" w:hAnsi="黑体" w:eastAsia="黑体"/>
          <w:szCs w:val="32"/>
        </w:rPr>
      </w:pPr>
    </w:p>
    <w:p>
      <w:pPr>
        <w:rPr>
          <w:rFonts w:ascii="黑体" w:hAnsi="黑体" w:eastAsia="黑体"/>
          <w:szCs w:val="32"/>
        </w:rPr>
      </w:pPr>
    </w:p>
    <w:p>
      <w:pPr>
        <w:ind w:firstLine="560" w:firstLineChars="200"/>
        <w:rPr>
          <w:rFonts w:hint="eastAsia" w:ascii="黑体" w:hAnsi="黑体" w:eastAsia="黑体"/>
          <w:sz w:val="28"/>
          <w:szCs w:val="28"/>
        </w:rPr>
      </w:pPr>
    </w:p>
    <w:p>
      <w:pPr>
        <w:ind w:firstLine="560" w:firstLineChars="200"/>
        <w:rPr>
          <w:rFonts w:ascii="黑体" w:hAnsi="黑体" w:eastAsia="黑体"/>
          <w:sz w:val="28"/>
          <w:szCs w:val="28"/>
        </w:rPr>
      </w:pPr>
      <w:r>
        <w:rPr>
          <w:rFonts w:hint="eastAsia" w:ascii="黑体" w:hAnsi="黑体" w:eastAsia="黑体"/>
          <w:sz w:val="28"/>
          <w:szCs w:val="28"/>
        </w:rPr>
        <w:t>数字证书网上办理流程图</w:t>
      </w:r>
    </w:p>
    <w:p>
      <w:pPr>
        <w:rPr>
          <w:rFonts w:ascii="黑体" w:hAnsi="黑体" w:eastAsia="黑体"/>
          <w:b/>
          <w:szCs w:val="32"/>
        </w:rPr>
      </w:pPr>
      <w:r>
        <w:rPr>
          <w:rFonts w:ascii="宋体" w:hAnsi="宋体"/>
          <w:szCs w:val="32"/>
        </w:rPr>
        <w:drawing>
          <wp:inline distT="0" distB="0" distL="114300" distR="114300">
            <wp:extent cx="5276850" cy="79438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tretch>
                      <a:fillRect/>
                    </a:stretch>
                  </pic:blipFill>
                  <pic:spPr>
                    <a:xfrm>
                      <a:off x="0" y="0"/>
                      <a:ext cx="5276850" cy="7943850"/>
                    </a:xfrm>
                    <a:prstGeom prst="rect">
                      <a:avLst/>
                    </a:prstGeom>
                    <a:noFill/>
                    <a:ln w="9525">
                      <a:noFill/>
                    </a:ln>
                  </pic:spPr>
                </pic:pic>
              </a:graphicData>
            </a:graphic>
          </wp:inline>
        </w:drawing>
      </w:r>
    </w:p>
    <w:p>
      <w:pPr>
        <w:tabs>
          <w:tab w:val="left" w:pos="251"/>
          <w:tab w:val="center" w:pos="4153"/>
        </w:tabs>
        <w:rPr>
          <w:rFonts w:ascii="方正行楷简体" w:eastAsia="方正行楷简体"/>
          <w:szCs w:val="21"/>
        </w:rPr>
      </w:pPr>
    </w:p>
    <w:sectPr>
      <w:headerReference r:id="rId3" w:type="default"/>
      <w:footerReference r:id="rId5" w:type="default"/>
      <w:headerReference r:id="rId4" w:type="even"/>
      <w:pgSz w:w="11906" w:h="16838"/>
      <w:pgMar w:top="1440" w:right="1800" w:bottom="1440" w:left="1800" w:header="851" w:footer="992" w:gutter="0"/>
      <w:cols w:space="720" w:num="1"/>
      <w:docGrid w:type="lines" w:linePitch="317" w:charSpace="609"/>
    </w:sectPr>
  </w:body>
</w:document>
</file>

<file path=word/customizations.xml><?xml version="1.0" encoding="utf-8"?>
<wne:tcg xmlns:r="http://schemas.openxmlformats.org/officeDocument/2006/relationships" xmlns:wne="http://schemas.microsoft.com/office/word/2006/wordml">
  <wne:keymaps>
    <wne:keymap wne:kcmPrimary="0170">
      <wne:fci wne:fciName="FormattingProperties" wne:swArg="0000"/>
    </wne:keymap>
    <wne:keymap wne:kcmPrimary="0230">
      <wne:fci wne:fciName="OpenOrCloseUpPara" wne:swArg="0000"/>
    </wne:keymap>
    <wne:keymap wne:kcmPrimary="0232">
      <wne:fci wne:fciName="SpacePara2" wne:swArg="0000"/>
    </wne:keymap>
    <wne:keymap wne:kcmPrimary="0235">
      <wne:fci wne:fciName="SpacePara15" wne:swArg="0000"/>
    </wne:keymap>
    <wne:keymap wne:kcmPrimary="02DB">
      <wne:fci wne:fciName="ShrinkFontOnePoint" wne:swArg="0000"/>
    </wne:keymap>
    <wne:keymap wne:kcmPrimary="02DD">
      <wne:fci wne:fciName="GrowFontOnePoint" wne:swArg="0000"/>
    </wne:keymap>
    <wne:keymap wne:kcmPrimary="0346">
      <wne:fci wne:fciName="Font" wne:swArg="0000"/>
    </wne:keymap>
    <wne:keymap wne:kcmPrimary="0631">
      <wne:fci wne:fciName="ApplyHeading1" wne:swArg="0000"/>
    </wne:keymap>
    <wne:keymap wne:kcmPrimary="0632">
      <wne:fci wne:fciName="ApplyHeading2" wne:swArg="0000"/>
    </wne:keymap>
    <wne:keymap wne:kcmPrimary="0633">
      <wne:fci wne:fciName="ApplyHeading3" wne:swArg="0000"/>
    </wne:keymap>
  </wne:keymaps>
</wne:tc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方正行楷简体">
    <w:panose1 w:val="03000509000000000000"/>
    <w:charset w:val="86"/>
    <w:family w:val="auto"/>
    <w:pitch w:val="default"/>
    <w:sig w:usb0="00000001" w:usb1="080E0000" w:usb2="00000000" w:usb3="00000000" w:csb0="00040000" w:csb1="00000000"/>
  </w:font>
  <w:font w:name="Arial">
    <w:panose1 w:val="020B0604020202020204"/>
    <w:charset w:val="00"/>
    <w:family w:val="swiss"/>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p>
  <w:p>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E058483"/>
    <w:multiLevelType w:val="singleLevel"/>
    <w:tmpl w:val="5E058483"/>
    <w:lvl w:ilvl="0" w:tentative="0">
      <w:start w:val="1"/>
      <w:numFmt w:val="chineseCounting"/>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6"/>
  <w:drawingGridVerticalSpacing w:val="317"/>
  <w:displayHorizontalDrawingGridEvery w:val="0"/>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206"/>
    <w:rsid w:val="00015461"/>
    <w:rsid w:val="00037C7D"/>
    <w:rsid w:val="00047448"/>
    <w:rsid w:val="000927D0"/>
    <w:rsid w:val="00092C47"/>
    <w:rsid w:val="000A40A4"/>
    <w:rsid w:val="000D3D18"/>
    <w:rsid w:val="000F2650"/>
    <w:rsid w:val="000F74F7"/>
    <w:rsid w:val="001B3918"/>
    <w:rsid w:val="001B5726"/>
    <w:rsid w:val="001E3B45"/>
    <w:rsid w:val="001F186F"/>
    <w:rsid w:val="001F2C82"/>
    <w:rsid w:val="00226F2E"/>
    <w:rsid w:val="0027555F"/>
    <w:rsid w:val="00287443"/>
    <w:rsid w:val="00290B42"/>
    <w:rsid w:val="002B7DE0"/>
    <w:rsid w:val="002C0218"/>
    <w:rsid w:val="002C6D96"/>
    <w:rsid w:val="002F529A"/>
    <w:rsid w:val="00311332"/>
    <w:rsid w:val="00342AA4"/>
    <w:rsid w:val="00342D46"/>
    <w:rsid w:val="00375D47"/>
    <w:rsid w:val="003B6206"/>
    <w:rsid w:val="003B6FD2"/>
    <w:rsid w:val="003C2DDB"/>
    <w:rsid w:val="003E0D51"/>
    <w:rsid w:val="003E3ADD"/>
    <w:rsid w:val="003F45A7"/>
    <w:rsid w:val="00442B21"/>
    <w:rsid w:val="00455FAF"/>
    <w:rsid w:val="004D4E44"/>
    <w:rsid w:val="00556715"/>
    <w:rsid w:val="0056082D"/>
    <w:rsid w:val="00583861"/>
    <w:rsid w:val="005912AA"/>
    <w:rsid w:val="005A0842"/>
    <w:rsid w:val="005F391B"/>
    <w:rsid w:val="00602E4D"/>
    <w:rsid w:val="00653711"/>
    <w:rsid w:val="00656CAE"/>
    <w:rsid w:val="00663A90"/>
    <w:rsid w:val="00683159"/>
    <w:rsid w:val="00696687"/>
    <w:rsid w:val="006B10AF"/>
    <w:rsid w:val="006D0032"/>
    <w:rsid w:val="006E2738"/>
    <w:rsid w:val="007065C1"/>
    <w:rsid w:val="00746208"/>
    <w:rsid w:val="00746638"/>
    <w:rsid w:val="007C0F7C"/>
    <w:rsid w:val="007D749D"/>
    <w:rsid w:val="007E5B69"/>
    <w:rsid w:val="007F5552"/>
    <w:rsid w:val="0083087F"/>
    <w:rsid w:val="008370DB"/>
    <w:rsid w:val="00885DB6"/>
    <w:rsid w:val="008920FE"/>
    <w:rsid w:val="008B0368"/>
    <w:rsid w:val="0090248A"/>
    <w:rsid w:val="009040D4"/>
    <w:rsid w:val="00906825"/>
    <w:rsid w:val="00957B6D"/>
    <w:rsid w:val="00972FE0"/>
    <w:rsid w:val="00976109"/>
    <w:rsid w:val="00992841"/>
    <w:rsid w:val="009939B1"/>
    <w:rsid w:val="009A6608"/>
    <w:rsid w:val="009B20E3"/>
    <w:rsid w:val="009D7835"/>
    <w:rsid w:val="009F5342"/>
    <w:rsid w:val="00A10BC0"/>
    <w:rsid w:val="00A20081"/>
    <w:rsid w:val="00A25F98"/>
    <w:rsid w:val="00A3085E"/>
    <w:rsid w:val="00A511CB"/>
    <w:rsid w:val="00A64DF9"/>
    <w:rsid w:val="00A70443"/>
    <w:rsid w:val="00A821F2"/>
    <w:rsid w:val="00A82A12"/>
    <w:rsid w:val="00AA1D34"/>
    <w:rsid w:val="00AB4A8E"/>
    <w:rsid w:val="00AC4C99"/>
    <w:rsid w:val="00AF190F"/>
    <w:rsid w:val="00B42716"/>
    <w:rsid w:val="00B45225"/>
    <w:rsid w:val="00B71368"/>
    <w:rsid w:val="00B75668"/>
    <w:rsid w:val="00B93708"/>
    <w:rsid w:val="00BA5753"/>
    <w:rsid w:val="00BC0551"/>
    <w:rsid w:val="00C02A2F"/>
    <w:rsid w:val="00C27CA2"/>
    <w:rsid w:val="00C54AD7"/>
    <w:rsid w:val="00C572CA"/>
    <w:rsid w:val="00C650DA"/>
    <w:rsid w:val="00C832B5"/>
    <w:rsid w:val="00C933BA"/>
    <w:rsid w:val="00C96604"/>
    <w:rsid w:val="00CA4877"/>
    <w:rsid w:val="00CB24D4"/>
    <w:rsid w:val="00CD11EA"/>
    <w:rsid w:val="00CD2C67"/>
    <w:rsid w:val="00CE7C6D"/>
    <w:rsid w:val="00CF08FC"/>
    <w:rsid w:val="00D02210"/>
    <w:rsid w:val="00D23727"/>
    <w:rsid w:val="00DA7ADE"/>
    <w:rsid w:val="00DC5C1B"/>
    <w:rsid w:val="00DC76F8"/>
    <w:rsid w:val="00DE2E6C"/>
    <w:rsid w:val="00E0535C"/>
    <w:rsid w:val="00E210DA"/>
    <w:rsid w:val="00E5110B"/>
    <w:rsid w:val="00E562D9"/>
    <w:rsid w:val="00E93CED"/>
    <w:rsid w:val="00EA3547"/>
    <w:rsid w:val="00EF77C7"/>
    <w:rsid w:val="00F172CD"/>
    <w:rsid w:val="00F32FE5"/>
    <w:rsid w:val="00F44698"/>
    <w:rsid w:val="00F66817"/>
    <w:rsid w:val="00F71626"/>
    <w:rsid w:val="00FA130C"/>
    <w:rsid w:val="00FC57E0"/>
    <w:rsid w:val="00FC6204"/>
    <w:rsid w:val="00FE2049"/>
    <w:rsid w:val="05C36CB7"/>
    <w:rsid w:val="062C21B1"/>
    <w:rsid w:val="07FA27FD"/>
    <w:rsid w:val="0F5613B9"/>
    <w:rsid w:val="132E21B4"/>
    <w:rsid w:val="240D170C"/>
    <w:rsid w:val="248C15F0"/>
    <w:rsid w:val="26E14BF2"/>
    <w:rsid w:val="276614F0"/>
    <w:rsid w:val="29107F0B"/>
    <w:rsid w:val="2A6E0E5A"/>
    <w:rsid w:val="322D25E2"/>
    <w:rsid w:val="366E5F73"/>
    <w:rsid w:val="3C761C42"/>
    <w:rsid w:val="3E2F6AD0"/>
    <w:rsid w:val="44501CD6"/>
    <w:rsid w:val="5F48798B"/>
    <w:rsid w:val="60FE77CC"/>
    <w:rsid w:val="627B3D79"/>
    <w:rsid w:val="67171FF1"/>
    <w:rsid w:val="6B2D0511"/>
    <w:rsid w:val="6C31711C"/>
    <w:rsid w:val="75882C4E"/>
    <w:rsid w:val="7751784F"/>
    <w:rsid w:val="7A5D515C"/>
    <w:rsid w:val="7C996138"/>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basedOn w:val="1"/>
    <w:next w:val="1"/>
    <w:qFormat/>
    <w:uiPriority w:val="9"/>
    <w:pPr>
      <w:keepNext/>
      <w:keepLines/>
      <w:spacing w:line="576" w:lineRule="auto"/>
      <w:outlineLvl w:val="0"/>
    </w:pPr>
    <w:rPr>
      <w:b/>
      <w:kern w:val="44"/>
      <w:sz w:val="44"/>
    </w:rPr>
  </w:style>
  <w:style w:type="paragraph" w:styleId="3">
    <w:name w:val="heading 2"/>
    <w:basedOn w:val="1"/>
    <w:next w:val="1"/>
    <w:unhideWhenUsed/>
    <w:qFormat/>
    <w:uiPriority w:val="9"/>
    <w:pPr>
      <w:keepNext/>
      <w:keepLines/>
      <w:spacing w:line="413" w:lineRule="auto"/>
      <w:outlineLvl w:val="1"/>
    </w:pPr>
    <w:rPr>
      <w:rFonts w:ascii="Arial" w:hAnsi="Arial" w:eastAsia="黑体"/>
      <w:b/>
      <w:sz w:val="32"/>
    </w:rPr>
  </w:style>
  <w:style w:type="paragraph" w:styleId="4">
    <w:name w:val="heading 3"/>
    <w:basedOn w:val="1"/>
    <w:next w:val="1"/>
    <w:unhideWhenUsed/>
    <w:qFormat/>
    <w:uiPriority w:val="9"/>
    <w:pPr>
      <w:keepNext/>
      <w:keepLines/>
      <w:spacing w:line="413" w:lineRule="auto"/>
      <w:outlineLvl w:val="2"/>
    </w:pPr>
    <w:rPr>
      <w:b/>
      <w:sz w:val="32"/>
    </w:rPr>
  </w:style>
  <w:style w:type="character" w:default="1" w:styleId="9">
    <w:name w:val="Default Paragraph Font"/>
    <w:unhideWhenUsed/>
    <w:qFormat/>
    <w:uiPriority w:val="1"/>
  </w:style>
  <w:style w:type="table" w:default="1" w:styleId="12">
    <w:name w:val="Normal Table"/>
    <w:unhideWhenUsed/>
    <w:qFormat/>
    <w:uiPriority w:val="99"/>
    <w:tblPr>
      <w:tblLayout w:type="fixed"/>
      <w:tblCellMar>
        <w:top w:w="0" w:type="dxa"/>
        <w:left w:w="108" w:type="dxa"/>
        <w:bottom w:w="0" w:type="dxa"/>
        <w:right w:w="108" w:type="dxa"/>
      </w:tblCellMar>
    </w:tblPr>
  </w:style>
  <w:style w:type="paragraph" w:styleId="5">
    <w:name w:val="Body Text"/>
    <w:basedOn w:val="1"/>
    <w:link w:val="17"/>
    <w:qFormat/>
    <w:uiPriority w:val="0"/>
    <w:pPr>
      <w:jc w:val="distribute"/>
    </w:pPr>
    <w:rPr>
      <w:rFonts w:ascii="Times New Roman" w:hAnsi="Times New Roman" w:cs="Times New Roman"/>
      <w:sz w:val="18"/>
      <w:szCs w:val="20"/>
    </w:rPr>
  </w:style>
  <w:style w:type="paragraph" w:styleId="6">
    <w:name w:val="Balloon Text"/>
    <w:basedOn w:val="1"/>
    <w:link w:val="20"/>
    <w:unhideWhenUsed/>
    <w:qFormat/>
    <w:uiPriority w:val="99"/>
    <w:rPr>
      <w:sz w:val="18"/>
      <w:szCs w:val="18"/>
    </w:rPr>
  </w:style>
  <w:style w:type="paragraph" w:styleId="7">
    <w:name w:val="footer"/>
    <w:basedOn w:val="1"/>
    <w:link w:val="19"/>
    <w:unhideWhenUsed/>
    <w:qFormat/>
    <w:uiPriority w:val="99"/>
    <w:pPr>
      <w:tabs>
        <w:tab w:val="center" w:pos="4153"/>
        <w:tab w:val="right" w:pos="8306"/>
      </w:tabs>
      <w:snapToGrid w:val="0"/>
      <w:jc w:val="left"/>
    </w:pPr>
    <w:rPr>
      <w:sz w:val="18"/>
      <w:szCs w:val="18"/>
    </w:rPr>
  </w:style>
  <w:style w:type="paragraph" w:styleId="8">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character" w:styleId="10">
    <w:name w:val="FollowedHyperlink"/>
    <w:basedOn w:val="9"/>
    <w:unhideWhenUsed/>
    <w:qFormat/>
    <w:uiPriority w:val="99"/>
    <w:rPr>
      <w:color w:val="800080"/>
      <w:u w:val="single"/>
    </w:rPr>
  </w:style>
  <w:style w:type="character" w:styleId="11">
    <w:name w:val="Hyperlink"/>
    <w:basedOn w:val="9"/>
    <w:unhideWhenUsed/>
    <w:qFormat/>
    <w:uiPriority w:val="99"/>
    <w:rPr>
      <w:color w:val="0000FF"/>
      <w:u w:val="single"/>
    </w:rPr>
  </w:style>
  <w:style w:type="paragraph" w:customStyle="1" w:styleId="13">
    <w:name w:val="列出段落1"/>
    <w:basedOn w:val="1"/>
    <w:qFormat/>
    <w:uiPriority w:val="34"/>
    <w:pPr>
      <w:ind w:firstLine="420" w:firstLineChars="200"/>
    </w:pPr>
  </w:style>
  <w:style w:type="paragraph" w:customStyle="1" w:styleId="14">
    <w:name w:val="表标题"/>
    <w:basedOn w:val="1"/>
    <w:qFormat/>
    <w:uiPriority w:val="0"/>
    <w:pPr>
      <w:spacing w:before="240" w:after="120"/>
      <w:jc w:val="center"/>
    </w:pPr>
    <w:rPr>
      <w:rFonts w:ascii="Times New Roman" w:hAnsi="Times New Roman" w:cs="Times New Roman"/>
      <w:b/>
      <w:sz w:val="30"/>
      <w:szCs w:val="20"/>
    </w:rPr>
  </w:style>
  <w:style w:type="paragraph" w:customStyle="1" w:styleId="15">
    <w:name w:val="NormalParagraphStyle"/>
    <w:basedOn w:val="1"/>
    <w:qFormat/>
    <w:uiPriority w:val="0"/>
    <w:pPr>
      <w:autoSpaceDE w:val="0"/>
      <w:autoSpaceDN w:val="0"/>
      <w:adjustRightInd w:val="0"/>
      <w:spacing w:line="288" w:lineRule="auto"/>
      <w:textAlignment w:val="center"/>
    </w:pPr>
    <w:rPr>
      <w:rFonts w:ascii="宋体" w:hAnsi="Times New Roman" w:cs="宋体"/>
      <w:color w:val="000000"/>
      <w:kern w:val="0"/>
      <w:sz w:val="24"/>
      <w:szCs w:val="24"/>
      <w:lang w:val="zh-CN"/>
    </w:rPr>
  </w:style>
  <w:style w:type="paragraph" w:customStyle="1" w:styleId="16">
    <w:name w:val="列出段落2"/>
    <w:basedOn w:val="1"/>
    <w:qFormat/>
    <w:uiPriority w:val="34"/>
    <w:pPr>
      <w:ind w:firstLine="420" w:firstLineChars="200"/>
    </w:pPr>
  </w:style>
  <w:style w:type="character" w:customStyle="1" w:styleId="17">
    <w:name w:val="正文文本 Char"/>
    <w:basedOn w:val="9"/>
    <w:link w:val="5"/>
    <w:qFormat/>
    <w:uiPriority w:val="0"/>
    <w:rPr>
      <w:rFonts w:ascii="Times New Roman" w:hAnsi="Times New Roman" w:eastAsia="宋体" w:cs="Times New Roman"/>
      <w:sz w:val="18"/>
      <w:szCs w:val="20"/>
    </w:rPr>
  </w:style>
  <w:style w:type="character" w:customStyle="1" w:styleId="18">
    <w:name w:val="页眉 Char"/>
    <w:basedOn w:val="9"/>
    <w:link w:val="8"/>
    <w:semiHidden/>
    <w:qFormat/>
    <w:uiPriority w:val="99"/>
    <w:rPr>
      <w:sz w:val="18"/>
      <w:szCs w:val="18"/>
    </w:rPr>
  </w:style>
  <w:style w:type="character" w:customStyle="1" w:styleId="19">
    <w:name w:val="页脚 Char"/>
    <w:basedOn w:val="9"/>
    <w:link w:val="7"/>
    <w:qFormat/>
    <w:uiPriority w:val="99"/>
    <w:rPr>
      <w:sz w:val="18"/>
      <w:szCs w:val="18"/>
    </w:rPr>
  </w:style>
  <w:style w:type="character" w:customStyle="1" w:styleId="20">
    <w:name w:val="批注框文本 Char"/>
    <w:basedOn w:val="9"/>
    <w:link w:val="6"/>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4" Type="http://schemas.openxmlformats.org/officeDocument/2006/relationships/fontTable" Target="fontTable.xml"/><Relationship Id="rId23" Type="http://schemas.microsoft.com/office/2006/relationships/keyMapCustomizations" Target="customizations.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9</Pages>
  <Words>285</Words>
  <Characters>1627</Characters>
  <Lines>13</Lines>
  <Paragraphs>3</Paragraphs>
  <ScaleCrop>false</ScaleCrop>
  <LinksUpToDate>false</LinksUpToDate>
  <CharactersWithSpaces>1909</CharactersWithSpaces>
  <Application>WPS Office_10.8.0.6058_F1E327BC-269C-435d-A152-05C5408002CA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2017-05-27T12:14:00Z</dcterms:created>
  <dc:creator>User</dc:creator>
  <cp:lastModifiedBy>Administrator</cp:lastModifiedBy>
  <cp:lastPrinted>2017-05-27T12:14:00Z</cp:lastPrinted>
  <dcterms:modified xsi:type="dcterms:W3CDTF">2019-12-27T04:12:15Z</dcterms:modified>
  <dc:title>数字证书网上更新须知</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2052-10.8.0.6058</vt:lpwstr>
  </property>
</Properties>
</file>